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EE6338" w:rsidRDefault="00EE6338" w:rsidP="00EE6338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STUDY GUIDE 4.2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4: Doctrines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2: Formation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II.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Formation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A. Biblical Support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Process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Example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B. Logical Support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Authority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Deductive Implications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Inductive Certainty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Describe </w:t>
      </w:r>
      <w:proofErr w:type="spellStart"/>
      <w:r>
        <w:rPr>
          <w:rFonts w:ascii="Helvetica" w:hAnsi="Helvetica" w:cs="Helvetica"/>
          <w:color w:val="333366"/>
          <w:sz w:val="21"/>
          <w:szCs w:val="21"/>
          <w:lang w:val="en"/>
        </w:rPr>
        <w:t>Berkhof's</w:t>
      </w:r>
      <w:proofErr w:type="spell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arguments against the theory of perfectionism, and explain how he constructs them.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Explain the view expressed in the lesson regarding the proper use of logic in the theological task.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3. Explain the law of </w:t>
      </w:r>
      <w:proofErr w:type="spellStart"/>
      <w:r>
        <w:rPr>
          <w:rFonts w:ascii="Helvetica" w:hAnsi="Helvetica" w:cs="Helvetica"/>
          <w:color w:val="333366"/>
          <w:sz w:val="21"/>
          <w:szCs w:val="21"/>
          <w:lang w:val="en"/>
        </w:rPr>
        <w:t>non contradiction</w:t>
      </w:r>
      <w:proofErr w:type="spellEnd"/>
      <w:r>
        <w:rPr>
          <w:rFonts w:ascii="Helvetica" w:hAnsi="Helvetica" w:cs="Helvetica"/>
          <w:color w:val="333366"/>
          <w:sz w:val="21"/>
          <w:szCs w:val="21"/>
          <w:lang w:val="en"/>
        </w:rPr>
        <w:t>, and give an example of how it is used.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4. Explain the causes of apparent contradictions in Scripture. How does Dr. Pratt suggest we resolve these apparent contradictions?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5. Explain the difference between deductive logic and inductive logic.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6. Explain the difference between repetitive inductive arguments and compositional inductive arguments.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7. What is the "inductive gap"? Explain the example Dr. Pratt gives of how </w:t>
      </w:r>
      <w:proofErr w:type="spellStart"/>
      <w:r>
        <w:rPr>
          <w:rFonts w:ascii="Helvetica" w:hAnsi="Helvetica" w:cs="Helvetica"/>
          <w:color w:val="333366"/>
          <w:sz w:val="21"/>
          <w:szCs w:val="21"/>
          <w:lang w:val="en"/>
        </w:rPr>
        <w:t>Berkhof</w:t>
      </w:r>
      <w:proofErr w:type="spell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forgets this gap.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8. Explain the "cone of certainty." Where does Dr. Pratt locate eschatological doctrines in this scheme?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How do you think the Bible is sometimes used improperly to develop doctrinal views?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How do you think logic should be used in the task of systematic theology?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lastRenderedPageBreak/>
        <w:br/>
        <w:t>3. What examples can you give of errors made in misusing logic, such as forgetting the "inductive gap," in doing theology?</w:t>
      </w:r>
      <w:bookmarkStart w:id="0" w:name="_GoBack"/>
      <w:bookmarkEnd w:id="0"/>
    </w:p>
    <w:sectPr w:rsidR="00457715" w:rsidRPr="00EE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066D32"/>
    <w:rsid w:val="00196176"/>
    <w:rsid w:val="003D037F"/>
    <w:rsid w:val="00457715"/>
    <w:rsid w:val="0048218B"/>
    <w:rsid w:val="004B340F"/>
    <w:rsid w:val="00501EDE"/>
    <w:rsid w:val="0065507C"/>
    <w:rsid w:val="0094583F"/>
    <w:rsid w:val="00A92B0F"/>
    <w:rsid w:val="00AC643F"/>
    <w:rsid w:val="00BB3BEE"/>
    <w:rsid w:val="00C967B5"/>
    <w:rsid w:val="00EE6338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2015-10-27T15:59:00Z</dcterms:created>
  <dcterms:modified xsi:type="dcterms:W3CDTF">2015-10-27T15:59:00Z</dcterms:modified>
</cp:coreProperties>
</file>